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40" w:rsidRDefault="00917140" w:rsidP="00917140">
      <w:pPr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05pt;margin-top:9.95pt;width:1in;height:1in;z-index:251658240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741006859" r:id="rId5"/>
        </w:object>
      </w:r>
    </w:p>
    <w:p w:rsidR="00917140" w:rsidRDefault="00917140" w:rsidP="00917140">
      <w:pPr>
        <w:ind w:right="-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Г Л А В А   </w:t>
      </w:r>
      <w:proofErr w:type="spellStart"/>
      <w:r>
        <w:rPr>
          <w:b/>
          <w:color w:val="000000"/>
          <w:sz w:val="36"/>
          <w:szCs w:val="36"/>
        </w:rPr>
        <w:t>А</w:t>
      </w:r>
      <w:proofErr w:type="spellEnd"/>
      <w:r>
        <w:rPr>
          <w:b/>
          <w:color w:val="000000"/>
          <w:sz w:val="36"/>
          <w:szCs w:val="36"/>
        </w:rPr>
        <w:t xml:space="preserve"> Д М И Н И С Т Р А Ц И </w:t>
      </w:r>
      <w:proofErr w:type="spellStart"/>
      <w:r>
        <w:rPr>
          <w:b/>
          <w:color w:val="000000"/>
          <w:sz w:val="36"/>
          <w:szCs w:val="36"/>
        </w:rPr>
        <w:t>И</w:t>
      </w:r>
      <w:proofErr w:type="spellEnd"/>
    </w:p>
    <w:p w:rsidR="00917140" w:rsidRDefault="00917140" w:rsidP="00917140">
      <w:pPr>
        <w:ind w:firstLine="28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 У Н И Ц И П А Л Ь Н О Г О    Р А Й О Н А</w:t>
      </w:r>
    </w:p>
    <w:p w:rsidR="00917140" w:rsidRDefault="00917140" w:rsidP="0091714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«</w:t>
      </w:r>
      <w:proofErr w:type="gramStart"/>
      <w:r>
        <w:rPr>
          <w:b/>
          <w:color w:val="000000"/>
          <w:sz w:val="36"/>
          <w:szCs w:val="36"/>
        </w:rPr>
        <w:t>ЛЕВАШИНСКИЙ  РАЙОН</w:t>
      </w:r>
      <w:proofErr w:type="gramEnd"/>
      <w:r>
        <w:rPr>
          <w:b/>
          <w:color w:val="000000"/>
          <w:sz w:val="36"/>
          <w:szCs w:val="36"/>
        </w:rPr>
        <w:t>» РЕСПУБЛИКИ  ДАГЕСТАН</w:t>
      </w:r>
    </w:p>
    <w:p w:rsidR="00917140" w:rsidRDefault="00917140" w:rsidP="00917140">
      <w:pPr>
        <w:ind w:firstLine="284"/>
        <w:jc w:val="center"/>
        <w:rPr>
          <w:color w:val="000000"/>
          <w:sz w:val="32"/>
          <w:szCs w:val="32"/>
        </w:rPr>
      </w:pPr>
    </w:p>
    <w:p w:rsidR="00917140" w:rsidRDefault="00917140" w:rsidP="00917140">
      <w:pPr>
        <w:ind w:right="57" w:firstLine="284"/>
        <w:jc w:val="center"/>
        <w:rPr>
          <w:b/>
          <w:color w:val="000000"/>
          <w:sz w:val="36"/>
          <w:szCs w:val="36"/>
          <w:u w:val="single"/>
        </w:rPr>
      </w:pPr>
      <w:proofErr w:type="gramStart"/>
      <w:r>
        <w:rPr>
          <w:b/>
          <w:color w:val="000000"/>
          <w:sz w:val="36"/>
          <w:szCs w:val="36"/>
        </w:rPr>
        <w:t>П  О</w:t>
      </w:r>
      <w:proofErr w:type="gramEnd"/>
      <w:r>
        <w:rPr>
          <w:b/>
          <w:color w:val="000000"/>
          <w:sz w:val="36"/>
          <w:szCs w:val="36"/>
        </w:rPr>
        <w:t xml:space="preserve">  С  Т  А  Н  О  В  Л  Е  Н  И  Е  № 256</w:t>
      </w:r>
    </w:p>
    <w:p w:rsidR="00917140" w:rsidRDefault="00917140" w:rsidP="00917140">
      <w:pPr>
        <w:jc w:val="center"/>
        <w:rPr>
          <w:b/>
          <w:color w:val="000000"/>
          <w:sz w:val="28"/>
          <w:szCs w:val="28"/>
        </w:rPr>
      </w:pPr>
    </w:p>
    <w:p w:rsidR="00917140" w:rsidRDefault="00917140" w:rsidP="009171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27 декабря 2022 года</w:t>
      </w:r>
    </w:p>
    <w:p w:rsidR="00917140" w:rsidRDefault="00917140" w:rsidP="009171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Леваши</w:t>
      </w:r>
    </w:p>
    <w:p w:rsidR="00917140" w:rsidRDefault="00917140" w:rsidP="00917140"/>
    <w:p w:rsidR="00917140" w:rsidRDefault="00917140" w:rsidP="009171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муниципальному земельному контролю на территории МР «Левашинский район» на 2023 год»</w:t>
      </w:r>
    </w:p>
    <w:p w:rsidR="00917140" w:rsidRDefault="00917140" w:rsidP="00917140">
      <w:pPr>
        <w:jc w:val="both"/>
        <w:rPr>
          <w:color w:val="000000"/>
          <w:sz w:val="28"/>
          <w:szCs w:val="28"/>
        </w:rPr>
      </w:pPr>
    </w:p>
    <w:p w:rsidR="00917140" w:rsidRDefault="00917140" w:rsidP="00917140">
      <w:pPr>
        <w:ind w:firstLine="708"/>
        <w:jc w:val="both"/>
        <w:rPr>
          <w:b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статьей 17.1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        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                                              </w:t>
      </w:r>
      <w:r>
        <w:rPr>
          <w:b/>
          <w:iCs/>
          <w:sz w:val="28"/>
          <w:szCs w:val="28"/>
        </w:rPr>
        <w:t>п о с т а н о в л я ю:</w:t>
      </w:r>
    </w:p>
    <w:p w:rsidR="00917140" w:rsidRDefault="00917140" w:rsidP="00917140">
      <w:pPr>
        <w:ind w:firstLine="708"/>
        <w:jc w:val="both"/>
        <w:rPr>
          <w:color w:val="000000"/>
          <w:sz w:val="6"/>
          <w:szCs w:val="28"/>
        </w:rPr>
      </w:pPr>
    </w:p>
    <w:p w:rsidR="00917140" w:rsidRDefault="00917140" w:rsidP="0091714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Утвердить программу «Профилактика рисков причинения вреда (ущерба) охраняемым законом ценностям по муниципальному земельному контролю на территории МР «Левашинский район» на 2023 год согласно приложению.</w:t>
      </w:r>
    </w:p>
    <w:p w:rsidR="00917140" w:rsidRDefault="00917140" w:rsidP="00917140">
      <w:pPr>
        <w:ind w:firstLine="708"/>
        <w:jc w:val="both"/>
        <w:rPr>
          <w:iCs/>
          <w:sz w:val="8"/>
          <w:szCs w:val="8"/>
        </w:rPr>
      </w:pPr>
    </w:p>
    <w:p w:rsidR="00917140" w:rsidRDefault="00917140" w:rsidP="0091714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Пресс-секретарю (Алиев М.Я.) обеспечить размещение настоящего постановления на официальном сайте МР «Левашинский район».</w:t>
      </w:r>
    </w:p>
    <w:p w:rsidR="00917140" w:rsidRDefault="00917140" w:rsidP="00917140">
      <w:pPr>
        <w:ind w:firstLine="708"/>
        <w:jc w:val="both"/>
        <w:rPr>
          <w:iCs/>
          <w:sz w:val="8"/>
          <w:szCs w:val="8"/>
        </w:rPr>
      </w:pPr>
    </w:p>
    <w:p w:rsidR="00917140" w:rsidRDefault="00917140" w:rsidP="00917140">
      <w:pPr>
        <w:ind w:firstLine="708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3. Контроль за исполнение настоящего постановления возложить на заместителя Главы Администрации МР «Левашинский район» Ибрагимова Г.И.</w:t>
      </w:r>
    </w:p>
    <w:p w:rsidR="00917140" w:rsidRDefault="00917140" w:rsidP="00917140">
      <w:pPr>
        <w:rPr>
          <w:b/>
          <w:sz w:val="28"/>
          <w:szCs w:val="28"/>
        </w:rPr>
      </w:pPr>
    </w:p>
    <w:p w:rsidR="00917140" w:rsidRDefault="00917140" w:rsidP="00917140">
      <w:pPr>
        <w:rPr>
          <w:b/>
          <w:sz w:val="28"/>
          <w:szCs w:val="28"/>
        </w:rPr>
      </w:pPr>
    </w:p>
    <w:p w:rsidR="00917140" w:rsidRDefault="00917140" w:rsidP="009171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Администрации                                                                                                 МР «Левашинский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917140" w:rsidRDefault="00917140" w:rsidP="00917140">
      <w:pPr>
        <w:rPr>
          <w:b/>
          <w:sz w:val="24"/>
          <w:szCs w:val="28"/>
        </w:rPr>
      </w:pPr>
    </w:p>
    <w:p w:rsidR="00917140" w:rsidRDefault="00917140" w:rsidP="00917140">
      <w:pPr>
        <w:rPr>
          <w:b/>
          <w:sz w:val="28"/>
          <w:szCs w:val="28"/>
        </w:rPr>
      </w:pPr>
    </w:p>
    <w:p w:rsidR="00917140" w:rsidRDefault="00917140" w:rsidP="00917140">
      <w:pPr>
        <w:jc w:val="both"/>
        <w:rPr>
          <w:b/>
          <w:sz w:val="28"/>
          <w:szCs w:val="28"/>
        </w:rPr>
      </w:pPr>
    </w:p>
    <w:p w:rsidR="00917140" w:rsidRDefault="00917140" w:rsidP="00917140">
      <w:pPr>
        <w:jc w:val="both"/>
        <w:rPr>
          <w:b/>
          <w:sz w:val="28"/>
          <w:szCs w:val="28"/>
        </w:rPr>
      </w:pPr>
    </w:p>
    <w:p w:rsidR="00917140" w:rsidRDefault="00917140" w:rsidP="00917140">
      <w:pPr>
        <w:jc w:val="both"/>
        <w:rPr>
          <w:b/>
          <w:sz w:val="28"/>
          <w:szCs w:val="28"/>
        </w:rPr>
      </w:pPr>
    </w:p>
    <w:p w:rsidR="00917140" w:rsidRDefault="00917140" w:rsidP="00917140">
      <w:pPr>
        <w:jc w:val="both"/>
        <w:rPr>
          <w:b/>
          <w:sz w:val="28"/>
          <w:szCs w:val="28"/>
        </w:rPr>
      </w:pPr>
    </w:p>
    <w:p w:rsidR="00917140" w:rsidRDefault="00917140" w:rsidP="00917140">
      <w:pPr>
        <w:jc w:val="both"/>
        <w:rPr>
          <w:b/>
          <w:sz w:val="28"/>
          <w:szCs w:val="28"/>
        </w:rPr>
      </w:pPr>
    </w:p>
    <w:p w:rsidR="00917140" w:rsidRDefault="00917140" w:rsidP="00917140">
      <w:pPr>
        <w:jc w:val="both"/>
        <w:rPr>
          <w:b/>
          <w:sz w:val="28"/>
          <w:szCs w:val="28"/>
        </w:rPr>
      </w:pPr>
    </w:p>
    <w:p w:rsidR="00917140" w:rsidRDefault="00917140" w:rsidP="0091714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17140" w:rsidRDefault="00917140" w:rsidP="00917140">
      <w:pPr>
        <w:widowControl w:val="0"/>
        <w:suppressAutoHyphens/>
        <w:spacing w:line="100" w:lineRule="atLeast"/>
        <w:ind w:firstLine="4678"/>
        <w:jc w:val="center"/>
        <w:rPr>
          <w:rFonts w:eastAsia="Arial Unicode MS"/>
          <w:color w:val="000000"/>
          <w:kern w:val="2"/>
          <w:sz w:val="28"/>
          <w:szCs w:val="28"/>
        </w:rPr>
      </w:pPr>
      <w:r>
        <w:rPr>
          <w:rFonts w:eastAsia="Arial Unicode MS"/>
          <w:color w:val="000000"/>
          <w:kern w:val="2"/>
          <w:sz w:val="28"/>
          <w:szCs w:val="28"/>
        </w:rPr>
        <w:t>Утвержден</w:t>
      </w:r>
    </w:p>
    <w:p w:rsidR="00917140" w:rsidRDefault="00917140" w:rsidP="00917140">
      <w:pPr>
        <w:widowControl w:val="0"/>
        <w:suppressAutoHyphens/>
        <w:spacing w:line="100" w:lineRule="atLeast"/>
        <w:ind w:left="284" w:firstLine="4678"/>
        <w:jc w:val="center"/>
        <w:rPr>
          <w:rFonts w:eastAsia="Arial Unicode MS"/>
          <w:color w:val="000000"/>
          <w:kern w:val="2"/>
          <w:sz w:val="28"/>
          <w:szCs w:val="28"/>
        </w:rPr>
      </w:pPr>
      <w:r>
        <w:rPr>
          <w:rFonts w:eastAsia="Arial Unicode MS"/>
          <w:color w:val="000000"/>
          <w:kern w:val="2"/>
          <w:sz w:val="28"/>
          <w:szCs w:val="28"/>
        </w:rPr>
        <w:t>постановлением главы Администрации</w:t>
      </w:r>
    </w:p>
    <w:p w:rsidR="00917140" w:rsidRDefault="00917140" w:rsidP="00917140">
      <w:pPr>
        <w:widowControl w:val="0"/>
        <w:suppressAutoHyphens/>
        <w:spacing w:line="100" w:lineRule="atLeast"/>
        <w:ind w:left="284" w:firstLine="4678"/>
        <w:jc w:val="center"/>
        <w:rPr>
          <w:rFonts w:eastAsia="Arial Unicode MS"/>
          <w:color w:val="000000"/>
          <w:kern w:val="2"/>
          <w:sz w:val="28"/>
          <w:szCs w:val="28"/>
        </w:rPr>
      </w:pPr>
      <w:r>
        <w:rPr>
          <w:rFonts w:eastAsia="Arial Unicode MS"/>
          <w:color w:val="000000"/>
          <w:kern w:val="2"/>
          <w:sz w:val="28"/>
          <w:szCs w:val="28"/>
        </w:rPr>
        <w:t>МР «Левашинский район»</w:t>
      </w:r>
    </w:p>
    <w:p w:rsidR="00917140" w:rsidRDefault="00917140" w:rsidP="00917140">
      <w:pPr>
        <w:widowControl w:val="0"/>
        <w:suppressAutoHyphens/>
        <w:spacing w:line="100" w:lineRule="atLeast"/>
        <w:ind w:left="284" w:firstLine="4678"/>
        <w:jc w:val="center"/>
        <w:rPr>
          <w:rFonts w:eastAsia="Arial Unicode MS"/>
          <w:color w:val="000000"/>
          <w:kern w:val="2"/>
          <w:sz w:val="28"/>
          <w:szCs w:val="28"/>
        </w:rPr>
      </w:pPr>
      <w:r>
        <w:rPr>
          <w:rFonts w:eastAsia="Arial Unicode MS"/>
          <w:color w:val="000000"/>
          <w:kern w:val="2"/>
          <w:sz w:val="28"/>
          <w:szCs w:val="28"/>
        </w:rPr>
        <w:t>от 27декабря 2022 №256</w:t>
      </w:r>
    </w:p>
    <w:p w:rsidR="00917140" w:rsidRDefault="00917140" w:rsidP="0091714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7140" w:rsidRDefault="00917140" w:rsidP="00917140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(ПЛАН)</w:t>
      </w: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</w:t>
      </w: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«Левашинский район» на 2023 год</w:t>
      </w:r>
    </w:p>
    <w:p w:rsidR="00917140" w:rsidRDefault="00917140" w:rsidP="00917140">
      <w:pPr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Раздел  I.</w:t>
      </w:r>
      <w:proofErr w:type="gramEnd"/>
      <w:r>
        <w:rPr>
          <w:b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района «Левашинский район» (далее – контрольный (надзорный) орган) в соответствии с Положением о муниципальном земельном контроле на территории муниципального района «Левашинский район» (далее – Положение), утвержденным решением Районным Собранием </w:t>
      </w:r>
      <w:proofErr w:type="gramStart"/>
      <w:r>
        <w:rPr>
          <w:color w:val="000000"/>
          <w:sz w:val="28"/>
          <w:szCs w:val="28"/>
        </w:rPr>
        <w:t>депутатов  МР</w:t>
      </w:r>
      <w:proofErr w:type="gramEnd"/>
      <w:r>
        <w:rPr>
          <w:color w:val="000000"/>
          <w:sz w:val="28"/>
          <w:szCs w:val="28"/>
        </w:rPr>
        <w:t xml:space="preserve"> «Левашинский район» от 29.06.2021              № 39, осуществляет муниципальный земельный контроль за: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недопущением ненадлежащего использования земельного участка;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предоставлением достоверных сведений о состоянии земель;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</w:t>
      </w:r>
      <w:r>
        <w:rPr>
          <w:color w:val="000000"/>
          <w:sz w:val="28"/>
          <w:szCs w:val="28"/>
        </w:rPr>
        <w:lastRenderedPageBreak/>
        <w:t>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color w:val="000000"/>
          <w:sz w:val="28"/>
          <w:szCs w:val="28"/>
        </w:rPr>
        <w:t>агрохимикатами</w:t>
      </w:r>
      <w:proofErr w:type="spellEnd"/>
      <w:r>
        <w:rPr>
          <w:color w:val="000000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выполнением иных требований законодательства.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 района «Левашинский район», земельные участки и их части независимо от прав на них (далее – объекты контроля).</w:t>
      </w:r>
    </w:p>
    <w:p w:rsidR="00917140" w:rsidRDefault="00917140" w:rsidP="0091714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района «Левашинский район»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917140" w:rsidRDefault="00917140" w:rsidP="0091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917140" w:rsidRDefault="00917140" w:rsidP="0091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917140" w:rsidRDefault="00917140" w:rsidP="0091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917140" w:rsidRDefault="00917140" w:rsidP="0091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917140" w:rsidRDefault="00917140" w:rsidP="0091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917140" w:rsidRDefault="00917140" w:rsidP="0091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917140" w:rsidRDefault="00917140" w:rsidP="0091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917140" w:rsidRDefault="00917140" w:rsidP="00917140">
      <w:pPr>
        <w:ind w:firstLine="709"/>
        <w:jc w:val="both"/>
        <w:rPr>
          <w:sz w:val="28"/>
          <w:szCs w:val="28"/>
        </w:rPr>
      </w:pP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17140" w:rsidRDefault="00917140" w:rsidP="00917140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повышение прозрачности системы муниципального контроля;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917140" w:rsidRDefault="00917140" w:rsidP="00917140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917140" w:rsidRDefault="00917140" w:rsidP="0091714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17140" w:rsidRDefault="00917140" w:rsidP="00917140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917140" w:rsidRDefault="00917140" w:rsidP="00917140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917140" w:rsidRDefault="00917140" w:rsidP="00917140">
      <w:pPr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917140" w:rsidRDefault="00917140" w:rsidP="0091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17140" w:rsidRDefault="00917140" w:rsidP="0091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профилактических мероприятий Программы на 2023 год приведен в таблице №1. </w:t>
      </w:r>
    </w:p>
    <w:p w:rsidR="00917140" w:rsidRDefault="00917140" w:rsidP="00917140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917140" w:rsidRDefault="00917140" w:rsidP="00917140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Таблица № 1</w:t>
      </w:r>
    </w:p>
    <w:tbl>
      <w:tblPr>
        <w:tblpPr w:leftFromText="180" w:rightFromText="180" w:bottomFromText="160" w:horzAnchor="margin" w:tblpXSpec="center" w:tblpY="34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20"/>
        <w:gridCol w:w="2190"/>
        <w:gridCol w:w="2421"/>
      </w:tblGrid>
      <w:tr w:rsidR="00917140" w:rsidTr="009171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Профилактические мероприятия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Периодичность проведения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Адресат мероприятия</w:t>
            </w:r>
          </w:p>
        </w:tc>
      </w:tr>
    </w:tbl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320"/>
        <w:gridCol w:w="2190"/>
        <w:gridCol w:w="2409"/>
      </w:tblGrid>
      <w:tr w:rsidR="00917140" w:rsidTr="00917140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17140" w:rsidTr="0091714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 на официальном сайте муниципального района «Левашинский район» актуальной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17140" w:rsidTr="0091714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Юридические лица, индивидуальные предприниматели, граждане, органы государственной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власти, органы местного самоуправления</w:t>
            </w:r>
          </w:p>
        </w:tc>
      </w:tr>
      <w:tr w:rsidR="00917140" w:rsidTr="0091714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hyperlink r:id="rId6" w:history="1">
              <w:r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перечень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2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FF66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2023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2023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самоуправления</w:t>
            </w:r>
          </w:p>
        </w:tc>
      </w:tr>
      <w:tr w:rsidR="00917140" w:rsidTr="00917140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2023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Программы профилактики на 2024 г.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октября 2023 г. 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(проект Программы для общественного обсуждения);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5 рабочих дней со дня их утверждения 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 15 декабря года, предшествующе</w:t>
            </w:r>
            <w:r>
              <w:rPr>
                <w:sz w:val="28"/>
                <w:szCs w:val="28"/>
                <w:lang w:eastAsia="en-US"/>
              </w:rPr>
              <w:lastRenderedPageBreak/>
              <w:t>го году реализации ежегодного плана)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Юридические лица, индивидуальные предприниматели, граждане, органы государственной власти, органы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местного самоуправления</w:t>
            </w:r>
          </w:p>
        </w:tc>
      </w:tr>
      <w:tr w:rsidR="00917140" w:rsidTr="00917140">
        <w:trPr>
          <w:trHeight w:val="2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требований  земельного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законодательства посредством: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21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0" w:rsidRDefault="0091714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публикаций на официальном сайте муниципального района «Левашинский район»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2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ежегодно, не позднее 1 марта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3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проведения  профилактического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мероприятия, контрольного (надзорного) мероприятия)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обращениям контролируемых лиц и их представителей, поступившим в течении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реже чем 2 раза в год (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IV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квартал 2023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17140" w:rsidTr="00917140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муниципального района «Левашинский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район»  на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2023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не позднее 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октября 2022 г. (разработка);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не позднее 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декабря 2022 г.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(утверждение)</w:t>
            </w:r>
          </w:p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917140" w:rsidRDefault="00917140" w:rsidP="00917140">
      <w:pPr>
        <w:widowControl w:val="0"/>
        <w:suppressAutoHyphens/>
        <w:autoSpaceDE w:val="0"/>
        <w:autoSpaceDN w:val="0"/>
        <w:rPr>
          <w:b/>
          <w:color w:val="000000"/>
          <w:sz w:val="28"/>
          <w:szCs w:val="28"/>
        </w:rPr>
      </w:pP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17140" w:rsidRDefault="00917140" w:rsidP="00917140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917140" w:rsidRDefault="00917140" w:rsidP="00917140">
      <w:pPr>
        <w:widowControl w:val="0"/>
        <w:suppressAutoHyphens/>
        <w:autoSpaceDE w:val="0"/>
        <w:rPr>
          <w:rFonts w:cs="Tahoma"/>
          <w:b/>
          <w:bCs/>
          <w:color w:val="000000"/>
          <w:kern w:val="2"/>
          <w:sz w:val="28"/>
          <w:szCs w:val="28"/>
          <w:lang w:eastAsia="en-US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72"/>
      </w:tblGrid>
      <w:tr w:rsidR="00917140" w:rsidTr="009171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>Величина</w:t>
            </w:r>
          </w:p>
        </w:tc>
      </w:tr>
      <w:tr w:rsidR="00917140" w:rsidTr="009171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  <w:t>100 %</w:t>
            </w:r>
          </w:p>
        </w:tc>
      </w:tr>
      <w:tr w:rsidR="00917140" w:rsidTr="009171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 xml:space="preserve">Удовлетворенность контролируемых лиц и их представителями консультированием </w:t>
            </w:r>
            <w:proofErr w:type="gramStart"/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>контрольного  органа</w:t>
            </w:r>
            <w:proofErr w:type="gram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40" w:rsidRDefault="00917140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>100% от числа обратившихся</w:t>
            </w:r>
          </w:p>
        </w:tc>
      </w:tr>
    </w:tbl>
    <w:p w:rsidR="00917140" w:rsidRDefault="00917140" w:rsidP="00917140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охраняемым законом ценностям</w:t>
      </w:r>
      <w:r>
        <w:rPr>
          <w:rFonts w:cs="Tahoma"/>
          <w:color w:val="000000"/>
          <w:kern w:val="2"/>
          <w:sz w:val="28"/>
          <w:szCs w:val="28"/>
        </w:rPr>
        <w:t>, является приоритетным по отношению к проведению контрольных (надзорных) мероприятий.</w:t>
      </w:r>
    </w:p>
    <w:p w:rsidR="00917140" w:rsidRDefault="00917140" w:rsidP="00917140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</w:t>
      </w:r>
      <w:proofErr w:type="gramStart"/>
      <w:r>
        <w:rPr>
          <w:rFonts w:cs="Tahoma"/>
          <w:color w:val="000000"/>
          <w:kern w:val="2"/>
          <w:sz w:val="28"/>
          <w:szCs w:val="28"/>
        </w:rPr>
        <w:t>территории  муниципального</w:t>
      </w:r>
      <w:proofErr w:type="gramEnd"/>
      <w:r>
        <w:rPr>
          <w:rFonts w:cs="Tahoma"/>
          <w:color w:val="000000"/>
          <w:kern w:val="2"/>
          <w:sz w:val="28"/>
          <w:szCs w:val="28"/>
        </w:rPr>
        <w:t xml:space="preserve"> района «Левашинский район» на 2023 год, и плановый 2024-2025 годы. </w:t>
      </w:r>
    </w:p>
    <w:p w:rsidR="00917140" w:rsidRDefault="00917140" w:rsidP="00917140">
      <w:pPr>
        <w:widowControl w:val="0"/>
        <w:suppressAutoHyphens/>
        <w:ind w:firstLine="567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</w:rPr>
        <w:t>Результаты профилактической работы включаются в годовой Доклад об осуществлении муниципального земельного контроля на территории муниципального района «Левашинский район».</w:t>
      </w:r>
    </w:p>
    <w:p w:rsidR="00E1152A" w:rsidRDefault="00E1152A"/>
    <w:sectPr w:rsidR="00E1152A" w:rsidSect="00917140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E"/>
    <w:rsid w:val="00255BFE"/>
    <w:rsid w:val="00917140"/>
    <w:rsid w:val="00E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CF1A2B-27C1-42E6-857D-2FD3CB5A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40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2739</Words>
  <Characters>15614</Characters>
  <Application>Microsoft Office Word</Application>
  <DocSecurity>0</DocSecurity>
  <Lines>130</Lines>
  <Paragraphs>36</Paragraphs>
  <ScaleCrop>false</ScaleCrop>
  <Company/>
  <LinksUpToDate>false</LinksUpToDate>
  <CharactersWithSpaces>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2023-03-22T13:14:00Z</dcterms:created>
  <dcterms:modified xsi:type="dcterms:W3CDTF">2023-03-22T13:15:00Z</dcterms:modified>
</cp:coreProperties>
</file>